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4AD6F">
      <w:pPr>
        <w:jc w:val="center"/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32"/>
          <w:szCs w:val="40"/>
          <w:shd w:val="clear" w:fill="FFFFFF"/>
        </w:rPr>
      </w:pPr>
      <w:bookmarkStart w:id="0" w:name="_GoBack"/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32"/>
          <w:szCs w:val="40"/>
          <w:shd w:val="clear" w:fill="FFFFFF"/>
        </w:rPr>
        <w:t>浙江南郡公益基金会档案管理制度</w:t>
      </w:r>
    </w:p>
    <w:p w14:paraId="3EC5CFB4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550F2977">
      <w:pP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第一章 总则</w:t>
      </w:r>
    </w:p>
    <w:p w14:paraId="47D3CC4B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第一条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为规范浙江南郡公益基金会（以下简称“本会”）档案管理工作，确保档案真实、完整、安全与有效利用，根据《中华人民共和国档案法》《基金会管理条例》等法律法规及本会章程，制定本制度。</w:t>
      </w:r>
    </w:p>
    <w:p w14:paraId="68080A10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第二条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本制度所称档案，是指本会在各项活动中直接形成的，具有保存价值的各种文字、图表、声像、电子数据等不同形式和载体的历史记录。</w:t>
      </w:r>
    </w:p>
    <w:p w14:paraId="2AACECC7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第三条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档案管理遵循“统一领导、分级负责、集中保管”的原则，确保档案工作与业务开展同步进行。</w:t>
      </w:r>
    </w:p>
    <w:p w14:paraId="4F6FBEEA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第四条 本会档案工作实行理事长领导责任制。秘书处是档案工作的归口管理部门，负责档案的接收、整理、保管、利用、统计、鉴定、移交与销毁等日常管理工作。各部门及项目负责人对本部门（项目）形成档案的收集、整理与移交负责。</w:t>
      </w:r>
    </w:p>
    <w:p w14:paraId="03FBAE0F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46E879BF">
      <w:pP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第二章 档案范围与分类</w:t>
      </w:r>
    </w:p>
    <w:p w14:paraId="00ED6C75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第五条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凡反映本会工作活动、具有查考利用价值的文件材料均应归档，主要包括但不限于：</w:t>
      </w:r>
    </w:p>
    <w:p w14:paraId="1392514A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（一）法人登记类：成立、变更、注销的登记证书、批复文件、章程等。</w:t>
      </w:r>
    </w:p>
    <w:p w14:paraId="269927EA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（二）治理决策类：理事会、监事会会议通知、记录、纪要、决议；年度工作计划与总结。</w:t>
      </w:r>
    </w:p>
    <w:p w14:paraId="43A1FA9D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（三）项目管理类：项目立项书、协议、预算、报告、评估、宣传及活动影像资料。</w:t>
      </w:r>
    </w:p>
    <w:p w14:paraId="37827447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（四）捐赠募捐类：捐赠协议、捐赠人信息（依法保护）、捐赠票据、募捐方案及备案文件。</w:t>
      </w:r>
    </w:p>
    <w:p w14:paraId="0353B07C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（五）财务资产类：会计凭证、账簿、报表、审计报告；资产管理台账、权属证明。</w:t>
      </w:r>
    </w:p>
    <w:p w14:paraId="6EFFB194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（六）人事劳资类：员工合同、名册、考核、任免文件及岗位交接记录。</w:t>
      </w:r>
    </w:p>
    <w:p w14:paraId="2C50CFC6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（七）合同协议类：对外签订的合作、委托、采购、服务等各类合同。</w:t>
      </w:r>
    </w:p>
    <w:p w14:paraId="41764325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（八）宣传外联类：重要发布稿、宣传品、媒体报道剪辑、大型活动全套资料及外事往来文件。</w:t>
      </w:r>
    </w:p>
    <w:p w14:paraId="7402ACB8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（九）声像实物类：重要活动照片、音视频资料；获赠的奖牌、证书、题词等实物。</w:t>
      </w:r>
    </w:p>
    <w:p w14:paraId="41EB305D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（十）电子档案类：对应以上各类别的电子文件及数据库。</w:t>
      </w:r>
    </w:p>
    <w:p w14:paraId="194F1286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第六条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归档文件材料以原件为主，并确保审批手续完备、印鉴齐全、载体完好。</w:t>
      </w:r>
    </w:p>
    <w:p w14:paraId="5413CA39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7538F1D8">
      <w:pP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第三章 档案的归档、整理与保管</w:t>
      </w:r>
    </w:p>
    <w:p w14:paraId="1BC795FC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第七条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归档流程实行部门预立卷制度。各部门应于每年年末或项目结束后一个月内，完成文件材料的收集与初步整理，编制移交清单，于次年第一季度末前统一向秘书处移交。</w:t>
      </w:r>
    </w:p>
    <w:p w14:paraId="121D6BC5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第八条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秘书处负责对接收档案进行系统化整理、分类、编号、装订（或电子归档），并编制检索目录。档案编号可采用“类别代码-年度-顺序号”的规则，确保唯一性与可查性。</w:t>
      </w:r>
    </w:p>
    <w:p w14:paraId="6DDB1DE2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第九条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本会设立安全可靠的专用档案室（柜），配备必要的防护设施，做到防火、防盗、防潮、防光、防尘、防虫，确保档案实体安全。电子档案应实行异质备份与异地备份。</w:t>
      </w:r>
    </w:p>
    <w:p w14:paraId="2C026437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353387E7">
      <w:pP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第四章 档案的利用、销毁与移交</w:t>
      </w:r>
    </w:p>
    <w:p w14:paraId="6D39461A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第十条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档案利用实行审批登记制度：</w:t>
      </w:r>
    </w:p>
    <w:p w14:paraId="6E308592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（一）本会人员借阅一般档案，需填写借阅单，经部门负责人同意。</w:t>
      </w:r>
    </w:p>
    <w:p w14:paraId="114E917A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（二）借阅重要、敏感或涉密档案，须报经秘书长或理事长批准。</w:t>
      </w:r>
    </w:p>
    <w:p w14:paraId="412BE2CF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（三）外部单位或个人查阅档案，须持正式公函，经秘书长批准后方可查阅。严禁泄露捐赠人隐私、未公开项目细节等敏感信息。</w:t>
      </w:r>
    </w:p>
    <w:p w14:paraId="4BFC4E4D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（四）借阅者负有保密及保护档案的义务，不得涂改、拆散、转借、损毁，并按时归还。</w:t>
      </w:r>
    </w:p>
    <w:p w14:paraId="023C39AE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第十一条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档案保管期限分为永久、定期（30年、10年）。具体期限根据国家规定及档案价值确定。</w:t>
      </w:r>
    </w:p>
    <w:p w14:paraId="6B7CC761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第十二条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档案销毁必须严格履行鉴定与审批程序。由秘书处组织鉴定小组对到期档案进行鉴定，编制销毁清册，提出书面报告，报请理事会批准后，由至少两人监督销毁。电子档案销毁需确保不可恢复。</w:t>
      </w:r>
    </w:p>
    <w:p w14:paraId="0A10A731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第十三条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如遇机构变更或撤销，须按照国家规定办理档案移交手续。</w:t>
      </w:r>
    </w:p>
    <w:p w14:paraId="7F37F328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57AA979A">
      <w:pP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第五章 奖励与处罚</w:t>
      </w:r>
    </w:p>
    <w:p w14:paraId="0F0D547C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第十四条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对在档案收集、整理、保护和提供利用中做出显著成绩的部门或个人，给予表扬或奖励。</w:t>
      </w:r>
    </w:p>
    <w:p w14:paraId="6CC2F8E7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第十五条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凡违反本制度，有下列行为之一者，视情节轻重给予批评教育或处分；造成损失的，依法追究赔偿责任；构成犯罪的，依法追究刑事责任：</w:t>
      </w:r>
    </w:p>
    <w:p w14:paraId="41904779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（一）损毁、丢失或擅自销毁档案；</w:t>
      </w:r>
    </w:p>
    <w:p w14:paraId="7C9513CE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（二）擅自提供、抄录、公布、涂改、伪造档案；</w:t>
      </w:r>
    </w:p>
    <w:p w14:paraId="39B29992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（三）无故拒绝归档或移交，将公务档案据为己有；</w:t>
      </w:r>
    </w:p>
    <w:p w14:paraId="535B4BC2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（四）因玩忽职守造成档案损失；</w:t>
      </w:r>
    </w:p>
    <w:p w14:paraId="2C79165C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（五）其他违反档案管理规定的行为。</w:t>
      </w:r>
    </w:p>
    <w:p w14:paraId="30129593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4F197647">
      <w:pP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第六章 附则</w:t>
      </w:r>
    </w:p>
    <w:p w14:paraId="2DA33C3F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第十六条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本制度由浙江南郡公益基金会负责解释。</w:t>
      </w:r>
    </w:p>
    <w:p w14:paraId="5FB23443">
      <w:pP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第十七条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本制度自2026年1月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9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日浙江南郡公益基金会一届九次理事会会议审议通过后执行。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74D52"/>
    <w:rsid w:val="0B9F5CB0"/>
    <w:rsid w:val="16C70CE6"/>
    <w:rsid w:val="3033287E"/>
    <w:rsid w:val="459361A9"/>
    <w:rsid w:val="4807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1633</Words>
  <Characters>1638</Characters>
  <Lines>0</Lines>
  <Paragraphs>0</Paragraphs>
  <TotalTime>0</TotalTime>
  <ScaleCrop>false</ScaleCrop>
  <LinksUpToDate>false</LinksUpToDate>
  <CharactersWithSpaces>1661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2026-01-30T09:46:00Z</dcterms:created>
  <dc:creator>咩咩</dc:creator>
  <cp:lastModifiedBy>咩咩</cp:lastModifiedBy>
  <cp:lastPrinted>2026-10-08T01:41:00Z</cp:lastPrinted>
  <dcterms:modified xsi:type="dcterms:W3CDTF">2026-10-09T05:29:13Z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06776C3688DD4291AA5D397332E0E7E7_13</vt:lpwstr>
  </property>
  <property fmtid="{D5CDD505-2E9C-101B-9397-08002B2CF9AE}" pid="4" name="KSOTemplateDocerSaveRecord">
    <vt:lpwstr>eyJoZGlkIjoiODE2YTljY2UxODg3NmI4ZTk2YjliMGQ1ZDQ4MjU1NjQiLCJ1c2VySWQiOiI0MTc5NTUxOTIifQ==</vt:lpwstr>
  </property>
</Properties>
</file>